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0E7C86"/>
          <w:spacing w:val="80"/>
          <w:sz w:val="18"/>
          <w:szCs w:val="18"/>
        </w:rPr>
        <w:t xml:space="preserve">STATEMENT OF WORK</w:t>
      </w:r>
    </w:p>
    <w:p>
      <w:pPr>
        <w:spacing w:after="200" w:before="120"/>
      </w:pPr>
      <w:r>
        <w:rPr>
          <w:b/>
          <w:bCs/>
          <w:sz w:val="56"/>
          <w:szCs w:val="56"/>
        </w:rPr>
        <w:t xml:space="preserve">AI Revenue Operating System</w:t>
      </w:r>
    </w:p>
    <w:p>
      <w:pPr>
        <w:spacing w:after="240"/>
      </w:pPr>
      <w:r>
        <w:t xml:space="preserve">Between </w:t>
      </w:r>
      <w:r>
        <w:rPr>
          <w:b/>
          <w:bCs/>
        </w:rPr>
        <w:t xml:space="preserve">RapidData</w:t>
      </w:r>
      <w:r>
        <w:t xml:space="preserve"> (“Vendor”) and </w:t>
      </w:r>
      <w:r>
        <w:rPr>
          <w:b/>
          <w:bCs/>
        </w:rPr>
        <w:t xml:space="preserve">PruTech</w:t>
      </w:r>
      <w:r>
        <w:t xml:space="preserve"> (“Client”) for the design, build, and hand-off of an agentic AI platform unifying RFP intelligence and sales pipeline execution.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4"/>
              <w:left w:val="single" w:color="CCCCCC" w:sz="4"/>
              <w:bottom w:val="single" w:color="CCCCCC" w:sz="4"/>
              <w:right w:val="single" w:color="CCCCCC" w:sz="4"/>
            </w:tcBorders>
            <w:shd w:fill="F8FAFC" w:val="clear"/>
            <w:tcMar>
              <w:top w:type="dxa" w:w="100"/>
              <w:left w:type="dxa" w:w="140"/>
              <w:bottom w:type="dxa" w:w="100"/>
              <w:right w:type="dxa" w:w="140"/>
            </w:tcMar>
          </w:tcPr>
          <w:p>
            <w:r>
              <w:rPr>
                <w:b/>
                <w:bCs/>
              </w:rPr>
              <w:t xml:space="preserve">EFFECTIVE DATE</w:t>
            </w:r>
          </w:p>
        </w:tc>
        <w:tc>
          <w:tcPr>
            <w:tcW w:type="dxa" w:w="2340"/>
            <w:tcBorders>
              <w:top w:val="single" w:color="CCCCCC" w:sz="4"/>
              <w:left w:val="single" w:color="CCCCCC" w:sz="4"/>
              <w:bottom w:val="single" w:color="CCCCCC" w:sz="4"/>
              <w:right w:val="single" w:color="CCCCCC" w:sz="4"/>
            </w:tcBorders>
            <w:shd w:fill="F8FAFC" w:val="clear"/>
            <w:tcMar>
              <w:top w:type="dxa" w:w="100"/>
              <w:left w:type="dxa" w:w="140"/>
              <w:bottom w:type="dxa" w:w="100"/>
              <w:right w:type="dxa" w:w="140"/>
            </w:tcMar>
          </w:tcPr>
          <w:p>
            <w:r>
              <w:rPr>
                <w:b/>
                <w:bCs/>
              </w:rPr>
              <w:t xml:space="preserve">DURATION</w:t>
            </w:r>
          </w:p>
        </w:tc>
        <w:tc>
          <w:tcPr>
            <w:tcW w:type="dxa" w:w="2340"/>
            <w:tcBorders>
              <w:top w:val="single" w:color="CCCCCC" w:sz="4"/>
              <w:left w:val="single" w:color="CCCCCC" w:sz="4"/>
              <w:bottom w:val="single" w:color="CCCCCC" w:sz="4"/>
              <w:right w:val="single" w:color="CCCCCC" w:sz="4"/>
            </w:tcBorders>
            <w:shd w:fill="F8FAFC" w:val="clear"/>
            <w:tcMar>
              <w:top w:type="dxa" w:w="100"/>
              <w:left w:type="dxa" w:w="140"/>
              <w:bottom w:type="dxa" w:w="100"/>
              <w:right w:type="dxa" w:w="140"/>
            </w:tcMar>
          </w:tcPr>
          <w:p>
            <w:r>
              <w:rPr>
                <w:b/>
                <w:bCs/>
              </w:rPr>
              <w:t xml:space="preserve">ENGAGEMENT</w:t>
            </w:r>
          </w:p>
        </w:tc>
        <w:tc>
          <w:tcPr>
            <w:tcW w:type="dxa" w:w="2340"/>
            <w:tcBorders>
              <w:top w:val="single" w:color="CCCCCC" w:sz="4"/>
              <w:left w:val="single" w:color="CCCCCC" w:sz="4"/>
              <w:bottom w:val="single" w:color="CCCCCC" w:sz="4"/>
              <w:right w:val="single" w:color="CCCCCC" w:sz="4"/>
            </w:tcBorders>
            <w:shd w:fill="F8FAFC" w:val="clear"/>
            <w:tcMar>
              <w:top w:type="dxa" w:w="100"/>
              <w:left w:type="dxa" w:w="140"/>
              <w:bottom w:type="dxa" w:w="100"/>
              <w:right w:type="dxa" w:w="140"/>
            </w:tcMar>
          </w:tcPr>
          <w:p>
            <w:r>
              <w:rPr>
                <w:b/>
                <w:bCs/>
              </w:rPr>
              <w:t xml:space="preserve">DOCUMENT STATUS</w:t>
            </w:r>
          </w:p>
        </w:tc>
      </w:tr>
      <w:tr>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rPr>
              <w:t xml:space="preserve">May 2026</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rPr>
              <w:t xml:space="preserve">6–7 weeks</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rPr>
              <w:t xml:space="preserve">Fixed-scope build + hand-off</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rPr>
              <w:t xml:space="preserve">Draft v1.0</w:t>
            </w:r>
          </w:p>
        </w:tc>
      </w:tr>
    </w:tbl>
    <w:p>
      <w:pPr>
        <w:pStyle w:val="Heading1"/>
        <w:spacing w:after="180" w:before="360"/>
      </w:pPr>
      <w:r>
        <w:rPr>
          <w:b/>
          <w:bCs/>
          <w:color w:val="0E7C86"/>
          <w:sz w:val="32"/>
          <w:szCs w:val="32"/>
        </w:rPr>
        <w:t xml:space="preserve">1. Parties &amp; Stakeholders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4"/>
              <w:left w:val="single" w:color="CCCCCC" w:sz="4"/>
              <w:bottom w:val="single" w:color="CCCCCC" w:sz="4"/>
              <w:right w:val="single" w:color="CCCCCC" w:sz="4"/>
            </w:tcBorders>
            <w:shd w:fill="F8FAFC" w:val="clear"/>
            <w:tcMar>
              <w:top w:type="dxa" w:w="140"/>
              <w:left w:type="dxa" w:w="160"/>
              <w:bottom w:type="dxa" w:w="140"/>
              <w:right w:type="dxa" w:w="160"/>
            </w:tcMar>
          </w:tcPr>
          <w:p>
            <w:r>
              <w:rPr>
                <w:b/>
                <w:bCs/>
                <w:color w:val="0E7C86"/>
                <w:sz w:val="16"/>
                <w:szCs w:val="16"/>
              </w:rPr>
              <w:t xml:space="preserve">VENDOR</w:t>
            </w:r>
          </w:p>
          <w:p>
            <w:pPr>
              <w:spacing w:before="80"/>
            </w:pPr>
            <w:r>
              <w:rPr>
                <w:b/>
                <w:bCs/>
                <w:sz w:val="26"/>
                <w:szCs w:val="26"/>
              </w:rPr>
              <w:t xml:space="preserve">RapidData</w:t>
            </w:r>
          </w:p>
          <w:p>
            <w:pPr>
              <w:spacing w:before="80"/>
            </w:pPr>
            <w:r>
              <w:rPr>
                <w:color w:val="6B7280"/>
              </w:rPr>
              <w:t xml:space="preserve">Primary contact: Biren Saini</w:t>
            </w:r>
          </w:p>
        </w:tc>
        <w:tc>
          <w:tcPr>
            <w:tcW w:type="dxa" w:w="4680"/>
            <w:tcBorders>
              <w:top w:val="single" w:color="CCCCCC" w:sz="4"/>
              <w:left w:val="single" w:color="CCCCCC" w:sz="4"/>
              <w:bottom w:val="single" w:color="CCCCCC" w:sz="4"/>
              <w:right w:val="single" w:color="CCCCCC" w:sz="4"/>
            </w:tcBorders>
            <w:shd w:fill="F8FAFC" w:val="clear"/>
            <w:tcMar>
              <w:top w:type="dxa" w:w="140"/>
              <w:left w:type="dxa" w:w="160"/>
              <w:bottom w:type="dxa" w:w="140"/>
              <w:right w:type="dxa" w:w="160"/>
            </w:tcMar>
          </w:tcPr>
          <w:p>
            <w:r>
              <w:rPr>
                <w:b/>
                <w:bCs/>
                <w:color w:val="0E7C86"/>
                <w:sz w:val="16"/>
                <w:szCs w:val="16"/>
              </w:rPr>
              <w:t xml:space="preserve">CLIENT</w:t>
            </w:r>
          </w:p>
          <w:p>
            <w:pPr>
              <w:spacing w:before="80"/>
            </w:pPr>
            <w:r>
              <w:rPr>
                <w:b/>
                <w:bCs/>
                <w:sz w:val="26"/>
                <w:szCs w:val="26"/>
              </w:rPr>
              <w:t xml:space="preserve">PruTech</w:t>
            </w:r>
          </w:p>
          <w:p>
            <w:pPr>
              <w:spacing w:before="80"/>
            </w:pPr>
            <w:r>
              <w:rPr>
                <w:color w:val="6B7280"/>
              </w:rPr>
              <w:t xml:space="preserve">Sponsors: Deepak · Kris (Krishnamurthy Iyer)</w:t>
            </w:r>
          </w:p>
        </w:tc>
      </w:tr>
    </w:tbl>
    <w:p>
      <w:pPr>
        <w:pStyle w:val="Heading1"/>
        <w:spacing w:after="180" w:before="360"/>
      </w:pPr>
      <w:r>
        <w:rPr>
          <w:b/>
          <w:bCs/>
          <w:color w:val="0E7C86"/>
          <w:sz w:val="32"/>
          <w:szCs w:val="32"/>
        </w:rPr>
        <w:t xml:space="preserve">2. Background &amp; Objectives</w:t>
      </w:r>
    </w:p>
    <w:p>
      <w:pPr>
        <w:spacing w:after="120"/>
      </w:pPr>
      <w:r>
        <w:t xml:space="preserve">PruTech currently relies on manual review of public-sector RFPs sourced from GovSpend, SAM.gov, and state portals. The objective of this engagement is to deliver an agentic AI platform that automates discovery, qualification, and ranking of RFPs against PruTech's capability profile, and provides a collaborative workspace for “Go” decisions and pipeline hand-off.</w:t>
      </w:r>
    </w:p>
    <w:p>
      <w:pPr>
        <w:pStyle w:val="ListParagraph"/>
        <w:numPr>
          <w:ilvl w:val="0"/>
          <w:numId w:val="2"/>
        </w:numPr>
        <w:spacing w:after="80"/>
      </w:pPr>
      <w:r>
        <w:t xml:space="preserve">Cut RFP triage time by an order of magnitude.</w:t>
      </w:r>
    </w:p>
    <w:p>
      <w:pPr>
        <w:pStyle w:val="ListParagraph"/>
        <w:numPr>
          <w:ilvl w:val="0"/>
          <w:numId w:val="2"/>
        </w:numPr>
        <w:spacing w:after="80"/>
      </w:pPr>
      <w:r>
        <w:t xml:space="preserve">Surface only opportunities aligned to PruTech's technologies, NAICS codes, and buyer-budget thresholds.</w:t>
      </w:r>
    </w:p>
    <w:p>
      <w:pPr>
        <w:pStyle w:val="ListParagraph"/>
        <w:numPr>
          <w:ilvl w:val="0"/>
          <w:numId w:val="2"/>
        </w:numPr>
        <w:spacing w:after="80"/>
      </w:pPr>
      <w:r>
        <w:t xml:space="preserve">Provide a single executive dashboard for daily review, ranking, and in-tool collaboration.</w:t>
      </w:r>
    </w:p>
    <w:p>
      <w:pPr>
        <w:pStyle w:val="ListParagraph"/>
        <w:numPr>
          <w:ilvl w:val="0"/>
          <w:numId w:val="2"/>
        </w:numPr>
        <w:spacing w:after="80"/>
      </w:pPr>
      <w:r>
        <w:t xml:space="preserve">Enable new business-development reps to ramp via an in-app chatbot trained on prior won RFPs and capability narratives.</w:t>
      </w:r>
    </w:p>
    <w:p>
      <w:pPr>
        <w:pStyle w:val="Heading1"/>
        <w:spacing w:after="180" w:before="360"/>
      </w:pPr>
      <w:r>
        <w:rPr>
          <w:b/>
          <w:bCs/>
          <w:color w:val="0E7C86"/>
          <w:sz w:val="32"/>
          <w:szCs w:val="32"/>
        </w:rPr>
        <w:t xml:space="preserve">3. Scope of Work</w:t>
      </w:r>
    </w:p>
    <w:p>
      <w:pPr>
        <w:pStyle w:val="Heading2"/>
        <w:spacing w:after="120" w:before="240"/>
      </w:pPr>
      <w:r>
        <w:rPr>
          <w:b/>
          <w:bCs/>
          <w:sz w:val="26"/>
          <w:szCs w:val="26"/>
        </w:rPr>
        <w:t xml:space="preserve">3.1 Platform Deliverables (MVP)</w:t>
      </w:r>
    </w:p>
    <w:p>
      <w:pPr>
        <w:pStyle w:val="ListParagraph"/>
        <w:numPr>
          <w:ilvl w:val="0"/>
          <w:numId w:val="2"/>
        </w:numPr>
        <w:spacing w:after="80"/>
      </w:pPr>
      <w:r>
        <w:t xml:space="preserve">RFP ingestion pipeline from GovSpend, Orange Slices, SAM.gov, and selected state portals (direct).</w:t>
      </w:r>
    </w:p>
    <w:p>
      <w:pPr>
        <w:pStyle w:val="ListParagraph"/>
        <w:numPr>
          <w:ilvl w:val="0"/>
          <w:numId w:val="2"/>
        </w:numPr>
        <w:spacing w:after="80"/>
      </w:pPr>
      <w:r>
        <w:t xml:space="preserve">Configurable matching engine: NAICS / commodity codes (e.g., 541511, 541512, 541519); technology keywords (Salesforce, Dynamics, Power Apps, Java, AI; exclude SAP); buyer size &amp; budget gating; hard vs. weighted rules.</w:t>
      </w:r>
    </w:p>
    <w:p>
      <w:pPr>
        <w:pStyle w:val="ListParagraph"/>
        <w:numPr>
          <w:ilvl w:val="0"/>
          <w:numId w:val="2"/>
        </w:numPr>
        <w:spacing w:after="80"/>
      </w:pPr>
      <w:r>
        <w:t xml:space="preserve">Per-source search criteria, with near-miss explanations when a query returns zero results.</w:t>
      </w:r>
    </w:p>
    <w:p>
      <w:pPr>
        <w:pStyle w:val="ListParagraph"/>
        <w:numPr>
          <w:ilvl w:val="0"/>
          <w:numId w:val="2"/>
        </w:numPr>
        <w:spacing w:after="80"/>
      </w:pPr>
      <w:r>
        <w:t xml:space="preserve">Executive dashboard — single-screen daily review of new RFPs, rankings, and status.</w:t>
      </w:r>
    </w:p>
    <w:p>
      <w:pPr>
        <w:pStyle w:val="ListParagraph"/>
        <w:numPr>
          <w:ilvl w:val="0"/>
          <w:numId w:val="2"/>
        </w:numPr>
        <w:spacing w:after="80"/>
      </w:pPr>
      <w:r>
        <w:t xml:space="preserve">In-tool collaboration — comments, @mentions, activity feed on each RFP.</w:t>
      </w:r>
    </w:p>
    <w:p>
      <w:pPr>
        <w:pStyle w:val="ListParagraph"/>
        <w:numPr>
          <w:ilvl w:val="0"/>
          <w:numId w:val="2"/>
        </w:numPr>
        <w:spacing w:after="80"/>
      </w:pPr>
      <w:r>
        <w:t xml:space="preserve">AI-generated dossier per RFP: summary, fit rationale, key clauses, risks, and recommended action.</w:t>
      </w:r>
    </w:p>
    <w:p>
      <w:pPr>
        <w:pStyle w:val="ListParagraph"/>
        <w:numPr>
          <w:ilvl w:val="0"/>
          <w:numId w:val="2"/>
        </w:numPr>
        <w:spacing w:after="80"/>
      </w:pPr>
      <w:r>
        <w:t xml:space="preserve">In-app chatbot available on every screen for triage, onboarding, and capability lookup (no commercials exposed).</w:t>
      </w:r>
    </w:p>
    <w:p>
      <w:pPr>
        <w:pStyle w:val="ListParagraph"/>
        <w:numPr>
          <w:ilvl w:val="0"/>
          <w:numId w:val="2"/>
        </w:numPr>
        <w:spacing w:after="80"/>
      </w:pPr>
      <w:r>
        <w:t xml:space="preserve">Push “Go” RFPs into PruTech's pipeline of record (Salesforce or in-tool pipeline — TBD by Client).</w:t>
      </w:r>
    </w:p>
    <w:p>
      <w:pPr>
        <w:pStyle w:val="Heading2"/>
        <w:spacing w:after="120" w:before="240"/>
      </w:pPr>
      <w:r>
        <w:rPr>
          <w:b/>
          <w:bCs/>
          <w:sz w:val="26"/>
          <w:szCs w:val="26"/>
        </w:rPr>
        <w:t xml:space="preserve">3.2 Enablement &amp; Hand-off</w:t>
      </w:r>
    </w:p>
    <w:p>
      <w:pPr>
        <w:pStyle w:val="ListParagraph"/>
        <w:numPr>
          <w:ilvl w:val="0"/>
          <w:numId w:val="2"/>
        </w:numPr>
        <w:spacing w:after="80"/>
      </w:pPr>
      <w:r>
        <w:t xml:space="preserve">In-app documentation &amp; help (no external PDFs).</w:t>
      </w:r>
    </w:p>
    <w:p>
      <w:pPr>
        <w:pStyle w:val="ListParagraph"/>
        <w:numPr>
          <w:ilvl w:val="0"/>
          <w:numId w:val="2"/>
        </w:numPr>
        <w:spacing w:after="80"/>
      </w:pPr>
      <w:r>
        <w:t xml:space="preserve">Live training sessions for PruTech sales, capture, and admin users.</w:t>
      </w:r>
    </w:p>
    <w:p>
      <w:pPr>
        <w:pStyle w:val="ListParagraph"/>
        <w:numPr>
          <w:ilvl w:val="0"/>
          <w:numId w:val="2"/>
        </w:numPr>
        <w:spacing w:after="80"/>
      </w:pPr>
      <w:r>
        <w:t xml:space="preserve">Two weeks of post-launch hypercare.</w:t>
      </w:r>
    </w:p>
    <w:p>
      <w:pPr>
        <w:pStyle w:val="ListParagraph"/>
        <w:numPr>
          <w:ilvl w:val="0"/>
          <w:numId w:val="2"/>
        </w:numPr>
        <w:spacing w:after="80"/>
      </w:pPr>
      <w:r>
        <w:t xml:space="preserve">Application source code &amp; configuration export delivered to PruTech.</w:t>
      </w:r>
    </w:p>
    <w:p>
      <w:pPr>
        <w:pStyle w:val="Heading2"/>
        <w:spacing w:after="120" w:before="240"/>
      </w:pPr>
      <w:r>
        <w:rPr>
          <w:b/>
          <w:bCs/>
          <w:sz w:val="26"/>
          <w:szCs w:val="26"/>
        </w:rPr>
        <w:t xml:space="preserve">3.3 Out of Scope (this SoW)</w:t>
      </w:r>
    </w:p>
    <w:p>
      <w:pPr>
        <w:pStyle w:val="ListParagraph"/>
        <w:numPr>
          <w:ilvl w:val="0"/>
          <w:numId w:val="2"/>
        </w:numPr>
        <w:spacing w:after="80"/>
      </w:pPr>
      <w:r>
        <w:t xml:space="preserve">Proposal generation — Option 1: integrate RapidData generator (later phase); Option 2: continue with PruTech's existing generator.</w:t>
      </w:r>
    </w:p>
    <w:p>
      <w:pPr>
        <w:pStyle w:val="ListParagraph"/>
        <w:numPr>
          <w:ilvl w:val="0"/>
          <w:numId w:val="2"/>
        </w:numPr>
        <w:spacing w:after="80"/>
      </w:pPr>
      <w:r>
        <w:t xml:space="preserve">Custom Salesforce development beyond the documented Go-RFP push.</w:t>
      </w:r>
    </w:p>
    <w:p>
      <w:pPr>
        <w:pStyle w:val="ListParagraph"/>
        <w:numPr>
          <w:ilvl w:val="0"/>
          <w:numId w:val="2"/>
        </w:numPr>
        <w:spacing w:after="80"/>
      </w:pPr>
      <w:r>
        <w:t xml:space="preserve">Migration of historical RFP archives beyond agreed seed set.</w:t>
      </w:r>
    </w:p>
    <w:p>
      <w:pPr>
        <w:pStyle w:val="Heading1"/>
        <w:spacing w:after="180" w:before="360"/>
      </w:pPr>
      <w:r>
        <w:rPr>
          <w:b/>
          <w:bCs/>
          <w:color w:val="0E7C86"/>
          <w:sz w:val="32"/>
          <w:szCs w:val="32"/>
        </w:rPr>
        <w:t xml:space="preserve">4. Timeline &amp; Milestones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rPr>
          <w:tblHeader/>
        </w:trPr>
        <w:tc>
          <w:tcPr>
            <w:tcW w:type="dxa" w:w="1440"/>
            <w:tcBorders>
              <w:top w:val="single" w:color="CCCCCC" w:sz="4"/>
              <w:left w:val="single" w:color="CCCCCC" w:sz="4"/>
              <w:bottom w:val="single" w:color="CCCCCC" w:sz="4"/>
              <w:right w:val="single" w:color="CCCCCC" w:sz="4"/>
            </w:tcBorders>
            <w:shd w:fill="F1F5F9" w:val="clear"/>
            <w:tcMar>
              <w:top w:type="dxa" w:w="100"/>
              <w:left w:type="dxa" w:w="140"/>
              <w:bottom w:type="dxa" w:w="100"/>
              <w:right w:type="dxa" w:w="140"/>
            </w:tcMar>
          </w:tcPr>
          <w:p>
            <w:r>
              <w:rPr>
                <w:b/>
                <w:bCs/>
              </w:rPr>
              <w:t xml:space="preserve">Week</w:t>
            </w:r>
          </w:p>
        </w:tc>
        <w:tc>
          <w:tcPr>
            <w:tcW w:type="dxa" w:w="7920"/>
            <w:tcBorders>
              <w:top w:val="single" w:color="CCCCCC" w:sz="4"/>
              <w:left w:val="single" w:color="CCCCCC" w:sz="4"/>
              <w:bottom w:val="single" w:color="CCCCCC" w:sz="4"/>
              <w:right w:val="single" w:color="CCCCCC" w:sz="4"/>
            </w:tcBorders>
            <w:shd w:fill="F1F5F9" w:val="clear"/>
            <w:tcMar>
              <w:top w:type="dxa" w:w="100"/>
              <w:left w:type="dxa" w:w="140"/>
              <w:bottom w:type="dxa" w:w="100"/>
              <w:right w:type="dxa" w:w="140"/>
            </w:tcMar>
          </w:tcPr>
          <w:p>
            <w:r>
              <w:rPr>
                <w:b/>
                <w:bCs/>
              </w:rPr>
              <w:t xml:space="preserve">Milestone</w:t>
            </w:r>
          </w:p>
        </w:tc>
      </w:tr>
      <w:tr>
        <w:tc>
          <w:tcPr>
            <w:tcW w:type="dxa" w:w="14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bCs/>
              </w:rPr>
              <w:t xml:space="preserve">W1</w:t>
            </w:r>
          </w:p>
        </w:tc>
        <w:tc>
          <w:tcPr>
            <w:tcW w:type="dxa" w:w="79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rPr>
              <w:t xml:space="preserve">Kick-off, data-source access, NAICS &amp; technology config workshops.</w:t>
            </w:r>
          </w:p>
        </w:tc>
      </w:tr>
      <w:tr>
        <w:tc>
          <w:tcPr>
            <w:tcW w:type="dxa" w:w="14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bCs/>
              </w:rPr>
              <w:t xml:space="preserve">W2</w:t>
            </w:r>
          </w:p>
        </w:tc>
        <w:tc>
          <w:tcPr>
            <w:tcW w:type="dxa" w:w="79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rPr>
              <w:t xml:space="preserve">Ingestion pipeline live; first matching rules wired.</w:t>
            </w:r>
          </w:p>
        </w:tc>
      </w:tr>
      <w:tr>
        <w:tc>
          <w:tcPr>
            <w:tcW w:type="dxa" w:w="14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bCs/>
              </w:rPr>
              <w:t xml:space="preserve">W3</w:t>
            </w:r>
          </w:p>
        </w:tc>
        <w:tc>
          <w:tcPr>
            <w:tcW w:type="dxa" w:w="79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rPr>
              <w:t xml:space="preserve">Dossier generation, dashboard skeleton, internal review.</w:t>
            </w:r>
          </w:p>
        </w:tc>
      </w:tr>
      <w:tr>
        <w:tc>
          <w:tcPr>
            <w:tcW w:type="dxa" w:w="14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bCs/>
              </w:rPr>
              <w:t xml:space="preserve">W4</w:t>
            </w:r>
          </w:p>
        </w:tc>
        <w:tc>
          <w:tcPr>
            <w:tcW w:type="dxa" w:w="79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rPr>
              <w:t xml:space="preserve">First usable version available to PruTech for hands-on use.</w:t>
            </w:r>
          </w:p>
        </w:tc>
      </w:tr>
      <w:tr>
        <w:tc>
          <w:tcPr>
            <w:tcW w:type="dxa" w:w="14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bCs/>
              </w:rPr>
              <w:t xml:space="preserve">W5</w:t>
            </w:r>
          </w:p>
        </w:tc>
        <w:tc>
          <w:tcPr>
            <w:tcW w:type="dxa" w:w="79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rPr>
              <w:t xml:space="preserve">Collaboration features, chatbot, refinement on real RFPs.</w:t>
            </w:r>
          </w:p>
        </w:tc>
      </w:tr>
      <w:tr>
        <w:tc>
          <w:tcPr>
            <w:tcW w:type="dxa" w:w="14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bCs/>
              </w:rPr>
              <w:t xml:space="preserve">W6–W7</w:t>
            </w:r>
          </w:p>
        </w:tc>
        <w:tc>
          <w:tcPr>
            <w:tcW w:type="dxa" w:w="79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rPr>
              <w:t xml:space="preserve">Full delivery, training, hand-off, hypercare begins.</w:t>
            </w:r>
          </w:p>
        </w:tc>
      </w:tr>
    </w:tbl>
    <w:p>
      <w:pPr>
        <w:pStyle w:val="Heading1"/>
        <w:spacing w:after="180" w:before="360"/>
      </w:pPr>
      <w:r>
        <w:rPr>
          <w:b/>
          <w:bCs/>
          <w:color w:val="0E7C86"/>
          <w:sz w:val="32"/>
          <w:szCs w:val="32"/>
        </w:rPr>
        <w:t xml:space="preserve">5. Engagement Model</w:t>
      </w:r>
    </w:p>
    <w:p>
      <w:pPr>
        <w:pStyle w:val="Heading2"/>
        <w:spacing w:after="120" w:before="240"/>
      </w:pPr>
      <w:r>
        <w:rPr>
          <w:b/>
          <w:bCs/>
          <w:sz w:val="26"/>
          <w:szCs w:val="26"/>
        </w:rPr>
        <w:t xml:space="preserve">RapidData delivers</w:t>
      </w:r>
    </w:p>
    <w:p>
      <w:pPr>
        <w:pStyle w:val="ListParagraph"/>
        <w:numPr>
          <w:ilvl w:val="0"/>
          <w:numId w:val="2"/>
        </w:numPr>
        <w:spacing w:after="80"/>
      </w:pPr>
      <w:r>
        <w:t xml:space="preserve">Build, host (during build), and configure the platform.</w:t>
      </w:r>
    </w:p>
    <w:p>
      <w:pPr>
        <w:pStyle w:val="ListParagraph"/>
        <w:numPr>
          <w:ilvl w:val="0"/>
          <w:numId w:val="2"/>
        </w:numPr>
        <w:spacing w:after="80"/>
      </w:pPr>
      <w:r>
        <w:t xml:space="preserve">Weekly demos and async written status.</w:t>
      </w:r>
    </w:p>
    <w:p>
      <w:pPr>
        <w:pStyle w:val="ListParagraph"/>
        <w:numPr>
          <w:ilvl w:val="0"/>
          <w:numId w:val="2"/>
        </w:numPr>
        <w:spacing w:after="80"/>
      </w:pPr>
      <w:r>
        <w:t xml:space="preserve">Push “Go” RFPs into PruTech's chosen pipeline of record.</w:t>
      </w:r>
    </w:p>
    <w:p>
      <w:pPr>
        <w:pStyle w:val="ListParagraph"/>
        <w:numPr>
          <w:ilvl w:val="0"/>
          <w:numId w:val="2"/>
        </w:numPr>
        <w:spacing w:after="80"/>
      </w:pPr>
      <w:r>
        <w:t xml:space="preserve">Hand-off package and post-launch hypercare.</w:t>
      </w:r>
    </w:p>
    <w:p>
      <w:pPr>
        <w:pStyle w:val="Heading2"/>
        <w:spacing w:after="120" w:before="240"/>
      </w:pPr>
      <w:r>
        <w:rPr>
          <w:b/>
          <w:bCs/>
          <w:sz w:val="26"/>
          <w:szCs w:val="26"/>
        </w:rPr>
        <w:t xml:space="preserve">PruTech provides</w:t>
      </w:r>
    </w:p>
    <w:p>
      <w:pPr>
        <w:pStyle w:val="ListParagraph"/>
        <w:numPr>
          <w:ilvl w:val="0"/>
          <w:numId w:val="2"/>
        </w:numPr>
        <w:spacing w:after="80"/>
      </w:pPr>
      <w:r>
        <w:t xml:space="preserve">Day-1 inputs: NAICS / commodity codes used today.</w:t>
      </w:r>
    </w:p>
    <w:p>
      <w:pPr>
        <w:pStyle w:val="ListParagraph"/>
        <w:numPr>
          <w:ilvl w:val="0"/>
          <w:numId w:val="2"/>
        </w:numPr>
        <w:spacing w:after="80"/>
      </w:pPr>
      <w:r>
        <w:t xml:space="preserve">List of supported technologies &amp; exclusions (Salesforce, Dynamics, Power Apps, Java, AI; exclude SAP).</w:t>
      </w:r>
    </w:p>
    <w:p>
      <w:pPr>
        <w:pStyle w:val="ListParagraph"/>
        <w:numPr>
          <w:ilvl w:val="0"/>
          <w:numId w:val="2"/>
        </w:numPr>
        <w:spacing w:after="80"/>
      </w:pPr>
      <w:r>
        <w:t xml:space="preserve">Decision on system-of-record for Go RFPs (Salesforce vs. in-tool pipeline).</w:t>
      </w:r>
    </w:p>
    <w:p>
      <w:pPr>
        <w:pStyle w:val="ListParagraph"/>
        <w:numPr>
          <w:ilvl w:val="0"/>
          <w:numId w:val="2"/>
        </w:numPr>
        <w:spacing w:after="80"/>
      </w:pPr>
      <w:r>
        <w:t xml:space="preserve">Sample of recently won RFPs to seed the chatbot.</w:t>
      </w:r>
    </w:p>
    <w:p>
      <w:pPr>
        <w:pStyle w:val="ListParagraph"/>
        <w:numPr>
          <w:ilvl w:val="0"/>
          <w:numId w:val="2"/>
        </w:numPr>
        <w:spacing w:after="80"/>
      </w:pPr>
      <w:r>
        <w:t xml:space="preserve">Timely review and feedback within agreed cadence.</w:t>
      </w:r>
    </w:p>
    <w:p>
      <w:pPr>
        <w:pStyle w:val="Heading1"/>
        <w:spacing w:after="180" w:before="360"/>
      </w:pPr>
      <w:r>
        <w:rPr>
          <w:b/>
          <w:bCs/>
          <w:color w:val="0E7C86"/>
          <w:sz w:val="32"/>
          <w:szCs w:val="32"/>
        </w:rPr>
        <w:t xml:space="preserve">6. Commercials</w:t>
      </w:r>
    </w:p>
    <w:p>
      <w:pPr>
        <w:spacing w:after="60" w:before="240"/>
      </w:pPr>
      <w:r>
        <w:rPr>
          <w:b/>
          <w:bCs/>
          <w:color w:val="0E7C86"/>
          <w:spacing w:val="60"/>
          <w:sz w:val="16"/>
          <w:szCs w:val="16"/>
        </w:rPr>
        <w:t xml:space="preserve">BUY-OUT</w:t>
      </w:r>
    </w:p>
    <w:p>
      <w:pPr>
        <w:spacing w:after="80"/>
      </w:pPr>
      <w:r>
        <w:rPr>
          <w:b/>
          <w:bCs/>
          <w:color w:val="0E7C86"/>
          <w:sz w:val="40"/>
          <w:szCs w:val="40"/>
        </w:rPr>
        <w:t xml:space="preserve">$25,000</w:t>
      </w:r>
    </w:p>
    <w:p>
      <w:pPr>
        <w:spacing w:after="120"/>
      </w:pPr>
      <w:r>
        <w:t xml:space="preserve">One-time. PruTech continues to use the delivered version as-is, including in-app documentation and chatbot help. RapidData hands off; perpetual license included.</w:t>
      </w:r>
    </w:p>
    <w:p>
      <w:pPr>
        <w:pStyle w:val="Heading2"/>
        <w:spacing w:after="120" w:before="240"/>
      </w:pPr>
      <w:r>
        <w:rPr>
          <w:b/>
          <w:bCs/>
          <w:sz w:val="26"/>
          <w:szCs w:val="26"/>
        </w:rPr>
        <w:t xml:space="preserve">Milestone-based Payment Schedule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6000"/>
        <w:gridCol w:w="1920"/>
      </w:tblGrid>
      <w:tr>
        <w:trPr>
          <w:tblHeader/>
        </w:trPr>
        <w:tc>
          <w:tcPr>
            <w:tcW w:type="dxa" w:w="1440"/>
            <w:tcBorders>
              <w:top w:val="single" w:color="CCCCCC" w:sz="4"/>
              <w:left w:val="single" w:color="CCCCCC" w:sz="4"/>
              <w:bottom w:val="single" w:color="CCCCCC" w:sz="4"/>
              <w:right w:val="single" w:color="CCCCCC" w:sz="4"/>
            </w:tcBorders>
            <w:shd w:fill="F1F5F9" w:val="clear"/>
            <w:tcMar>
              <w:top w:type="dxa" w:w="100"/>
              <w:left w:type="dxa" w:w="140"/>
              <w:bottom w:type="dxa" w:w="100"/>
              <w:right w:type="dxa" w:w="140"/>
            </w:tcMar>
          </w:tcPr>
          <w:p>
            <w:r>
              <w:rPr>
                <w:b/>
                <w:bCs/>
              </w:rPr>
              <w:t xml:space="preserve">Milestone</w:t>
            </w:r>
          </w:p>
        </w:tc>
        <w:tc>
          <w:tcPr>
            <w:tcW w:type="dxa" w:w="6000"/>
            <w:tcBorders>
              <w:top w:val="single" w:color="CCCCCC" w:sz="4"/>
              <w:left w:val="single" w:color="CCCCCC" w:sz="4"/>
              <w:bottom w:val="single" w:color="CCCCCC" w:sz="4"/>
              <w:right w:val="single" w:color="CCCCCC" w:sz="4"/>
            </w:tcBorders>
            <w:shd w:fill="F1F5F9" w:val="clear"/>
            <w:tcMar>
              <w:top w:type="dxa" w:w="100"/>
              <w:left w:type="dxa" w:w="140"/>
              <w:bottom w:type="dxa" w:w="100"/>
              <w:right w:type="dxa" w:w="140"/>
            </w:tcMar>
          </w:tcPr>
          <w:p>
            <w:r>
              <w:rPr>
                <w:b/>
                <w:bCs/>
              </w:rPr>
              <w:t xml:space="preserve">Trigger</w:t>
            </w:r>
          </w:p>
        </w:tc>
        <w:tc>
          <w:tcPr>
            <w:tcW w:type="dxa" w:w="1920"/>
            <w:tcBorders>
              <w:top w:val="single" w:color="CCCCCC" w:sz="4"/>
              <w:left w:val="single" w:color="CCCCCC" w:sz="4"/>
              <w:bottom w:val="single" w:color="CCCCCC" w:sz="4"/>
              <w:right w:val="single" w:color="CCCCCC" w:sz="4"/>
            </w:tcBorders>
            <w:shd w:fill="F1F5F9" w:val="clear"/>
            <w:tcMar>
              <w:top w:type="dxa" w:w="100"/>
              <w:left w:type="dxa" w:w="140"/>
              <w:bottom w:type="dxa" w:w="100"/>
              <w:right w:type="dxa" w:w="140"/>
            </w:tcMar>
          </w:tcPr>
          <w:p>
            <w:pPr>
              <w:jc w:val="right"/>
            </w:pPr>
            <w:r>
              <w:rPr>
                <w:b/>
                <w:bCs/>
              </w:rPr>
              <w:t xml:space="preserve">Amount</w:t>
            </w:r>
          </w:p>
        </w:tc>
      </w:tr>
      <w:tr>
        <w:tc>
          <w:tcPr>
            <w:tcW w:type="dxa" w:w="14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bCs/>
              </w:rPr>
              <w:t xml:space="preserve">M1</w:t>
            </w:r>
          </w:p>
        </w:tc>
        <w:tc>
          <w:tcPr>
            <w:tcW w:type="dxa" w:w="6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rPr>
              <w:t xml:space="preserve">Upfront — on SoW execution / kick-off</w:t>
            </w:r>
          </w:p>
        </w:tc>
        <w:tc>
          <w:tcPr>
            <w:tcW w:type="dxa" w:w="192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right"/>
            </w:pPr>
            <w:r>
              <w:rPr>
                <w:b w:val="false"/>
                <w:bCs w:val="false"/>
              </w:rPr>
              <w:t xml:space="preserve">$10,000</w:t>
            </w:r>
          </w:p>
        </w:tc>
      </w:tr>
      <w:tr>
        <w:tc>
          <w:tcPr>
            <w:tcW w:type="dxa" w:w="14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bCs/>
              </w:rPr>
              <w:t xml:space="preserve">M2</w:t>
            </w:r>
          </w:p>
        </w:tc>
        <w:tc>
          <w:tcPr>
            <w:tcW w:type="dxa" w:w="6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rPr>
              <w:t xml:space="preserve">On Go-Live</w:t>
            </w:r>
          </w:p>
        </w:tc>
        <w:tc>
          <w:tcPr>
            <w:tcW w:type="dxa" w:w="192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right"/>
            </w:pPr>
            <w:r>
              <w:rPr>
                <w:b w:val="false"/>
                <w:bCs w:val="false"/>
              </w:rPr>
              <w:t xml:space="preserve">$10,000</w:t>
            </w:r>
          </w:p>
        </w:tc>
      </w:tr>
      <w:tr>
        <w:tc>
          <w:tcPr>
            <w:tcW w:type="dxa" w:w="14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bCs/>
              </w:rPr>
              <w:t xml:space="preserve">M3</w:t>
            </w:r>
          </w:p>
        </w:tc>
        <w:tc>
          <w:tcPr>
            <w:tcW w:type="dxa" w:w="6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rPr>
              <w:t xml:space="preserve">30 days after Go-Live</w:t>
            </w:r>
          </w:p>
        </w:tc>
        <w:tc>
          <w:tcPr>
            <w:tcW w:type="dxa" w:w="192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right"/>
            </w:pPr>
            <w:r>
              <w:rPr>
                <w:b w:val="false"/>
                <w:bCs w:val="false"/>
              </w:rPr>
              <w:t xml:space="preserve">$5,000</w:t>
            </w:r>
          </w:p>
        </w:tc>
      </w:tr>
      <w:tr>
        <w:tc>
          <w:tcPr>
            <w:tcW w:type="dxa" w:w="1440"/>
            <w:tcBorders>
              <w:top w:val="single" w:color="CCCCCC" w:sz="4"/>
              <w:left w:val="single" w:color="CCCCCC" w:sz="4"/>
              <w:bottom w:val="single" w:color="CCCCCC" w:sz="4"/>
              <w:right w:val="single" w:color="CCCCCC" w:sz="4"/>
            </w:tcBorders>
            <w:shd w:fill="F8FAFC" w:val="clear"/>
            <w:tcMar>
              <w:top w:type="dxa" w:w="100"/>
              <w:left w:type="dxa" w:w="140"/>
              <w:bottom w:type="dxa" w:w="100"/>
              <w:right w:type="dxa" w:w="140"/>
            </w:tcMar>
          </w:tcPr>
          <w:p>
            <w:r>
              <w:rPr>
                <w:b w:val="false"/>
                <w:bCs w:val="false"/>
              </w:rPr>
              <w:t xml:space="preserve"/>
            </w:r>
          </w:p>
        </w:tc>
        <w:tc>
          <w:tcPr>
            <w:tcW w:type="dxa" w:w="6000"/>
            <w:tcBorders>
              <w:top w:val="single" w:color="CCCCCC" w:sz="4"/>
              <w:left w:val="single" w:color="CCCCCC" w:sz="4"/>
              <w:bottom w:val="single" w:color="CCCCCC" w:sz="4"/>
              <w:right w:val="single" w:color="CCCCCC" w:sz="4"/>
            </w:tcBorders>
            <w:shd w:fill="F8FAFC" w:val="clear"/>
            <w:tcMar>
              <w:top w:type="dxa" w:w="100"/>
              <w:left w:type="dxa" w:w="140"/>
              <w:bottom w:type="dxa" w:w="100"/>
              <w:right w:type="dxa" w:w="140"/>
            </w:tcMar>
          </w:tcPr>
          <w:p>
            <w:r>
              <w:rPr>
                <w:b/>
                <w:bCs/>
              </w:rPr>
              <w:t xml:space="preserve">Total</w:t>
            </w:r>
          </w:p>
        </w:tc>
        <w:tc>
          <w:tcPr>
            <w:tcW w:type="dxa" w:w="1920"/>
            <w:tcBorders>
              <w:top w:val="single" w:color="CCCCCC" w:sz="4"/>
              <w:left w:val="single" w:color="CCCCCC" w:sz="4"/>
              <w:bottom w:val="single" w:color="CCCCCC" w:sz="4"/>
              <w:right w:val="single" w:color="CCCCCC" w:sz="4"/>
            </w:tcBorders>
            <w:shd w:fill="F8FAFC" w:val="clear"/>
            <w:tcMar>
              <w:top w:type="dxa" w:w="100"/>
              <w:left w:type="dxa" w:w="140"/>
              <w:bottom w:type="dxa" w:w="100"/>
              <w:right w:type="dxa" w:w="140"/>
            </w:tcMar>
          </w:tcPr>
          <w:p>
            <w:pPr>
              <w:jc w:val="right"/>
            </w:pPr>
            <w:r>
              <w:rPr>
                <w:b/>
                <w:bCs/>
              </w:rPr>
              <w:t xml:space="preserve">$25,000</w:t>
            </w:r>
          </w:p>
        </w:tc>
      </w:tr>
    </w:tbl>
    <w:p>
      <w:pPr>
        <w:pStyle w:val="Heading1"/>
        <w:spacing w:after="180" w:before="360"/>
      </w:pPr>
      <w:r>
        <w:rPr>
          <w:b/>
          <w:bCs/>
          <w:color w:val="0E7C86"/>
          <w:sz w:val="32"/>
          <w:szCs w:val="32"/>
        </w:rPr>
        <w:t xml:space="preserve">7. Acceptance Criteria</w:t>
      </w:r>
    </w:p>
    <w:p>
      <w:pPr>
        <w:pStyle w:val="ListParagraph"/>
        <w:numPr>
          <w:ilvl w:val="0"/>
          <w:numId w:val="2"/>
        </w:numPr>
        <w:spacing w:after="80"/>
      </w:pPr>
      <w:r>
        <w:t xml:space="preserve">Ingestion runs daily across configured sources with monitored health.</w:t>
      </w:r>
    </w:p>
    <w:p>
      <w:pPr>
        <w:pStyle w:val="ListParagraph"/>
        <w:numPr>
          <w:ilvl w:val="0"/>
          <w:numId w:val="2"/>
        </w:numPr>
        <w:spacing w:after="80"/>
      </w:pPr>
      <w:r>
        <w:t xml:space="preserve">Matching engine returns ranked RFPs with rationale; near-miss explanation when zero results.</w:t>
      </w:r>
    </w:p>
    <w:p>
      <w:pPr>
        <w:pStyle w:val="ListParagraph"/>
        <w:numPr>
          <w:ilvl w:val="0"/>
          <w:numId w:val="2"/>
        </w:numPr>
        <w:spacing w:after="80"/>
      </w:pPr>
      <w:r>
        <w:t xml:space="preserve">Dashboard, dossier, and collaboration features operational on production data for two consecutive weeks.</w:t>
      </w:r>
    </w:p>
    <w:p>
      <w:pPr>
        <w:pStyle w:val="ListParagraph"/>
        <w:numPr>
          <w:ilvl w:val="0"/>
          <w:numId w:val="2"/>
        </w:numPr>
        <w:spacing w:after="80"/>
      </w:pPr>
      <w:r>
        <w:t xml:space="preserve">Training delivered and documentation accessible in-app and via chatbot.</w:t>
      </w:r>
    </w:p>
    <w:p>
      <w:pPr>
        <w:pStyle w:val="ListParagraph"/>
        <w:numPr>
          <w:ilvl w:val="0"/>
          <w:numId w:val="2"/>
        </w:numPr>
        <w:spacing w:after="80"/>
      </w:pPr>
      <w:r>
        <w:t xml:space="preserve">Source code &amp; configuration export delivered.</w:t>
      </w:r>
    </w:p>
    <w:p>
      <w:pPr>
        <w:pStyle w:val="Heading1"/>
        <w:spacing w:after="180" w:before="360"/>
      </w:pPr>
      <w:r>
        <w:rPr>
          <w:b/>
          <w:bCs/>
          <w:color w:val="0E7C86"/>
          <w:sz w:val="32"/>
          <w:szCs w:val="32"/>
        </w:rPr>
        <w:t xml:space="preserve">8. IP, Licensing &amp; Confidentiality</w:t>
      </w:r>
    </w:p>
    <w:p>
      <w:pPr>
        <w:pStyle w:val="ListParagraph"/>
        <w:numPr>
          <w:ilvl w:val="0"/>
          <w:numId w:val="2"/>
        </w:numPr>
        <w:spacing w:after="80"/>
      </w:pPr>
      <w:r>
        <w:t xml:space="preserve">PruTech receives a perpetual, non-exclusive license to the delivered application for internal use.</w:t>
      </w:r>
    </w:p>
    <w:p>
      <w:pPr>
        <w:pStyle w:val="ListParagraph"/>
        <w:numPr>
          <w:ilvl w:val="0"/>
          <w:numId w:val="2"/>
        </w:numPr>
        <w:spacing w:after="80"/>
      </w:pPr>
      <w:r>
        <w:t xml:space="preserve">RapidData retains rights to underlying frameworks, generic components, and know-how reused across engagements.</w:t>
      </w:r>
    </w:p>
    <w:p>
      <w:pPr>
        <w:pStyle w:val="ListParagraph"/>
        <w:numPr>
          <w:ilvl w:val="0"/>
          <w:numId w:val="2"/>
        </w:numPr>
        <w:spacing w:after="80"/>
      </w:pPr>
      <w:r>
        <w:t xml:space="preserve">All PruTech data, won-RFP corpus, and configuration remain the property of PruTech.</w:t>
      </w:r>
    </w:p>
    <w:p>
      <w:pPr>
        <w:pStyle w:val="ListParagraph"/>
        <w:numPr>
          <w:ilvl w:val="0"/>
          <w:numId w:val="2"/>
        </w:numPr>
        <w:spacing w:after="80"/>
      </w:pPr>
      <w:r>
        <w:t xml:space="preserve">Both parties bound by mutual NDA; no disclosure of commercials or proprietary data.</w:t>
      </w:r>
    </w:p>
    <w:p>
      <w:pPr>
        <w:pStyle w:val="Heading1"/>
        <w:spacing w:after="180" w:before="360"/>
      </w:pPr>
      <w:r>
        <w:rPr>
          <w:b/>
          <w:bCs/>
          <w:color w:val="0E7C86"/>
          <w:sz w:val="32"/>
          <w:szCs w:val="32"/>
        </w:rPr>
        <w:t xml:space="preserve">9. Change Control &amp; Governance</w:t>
      </w:r>
    </w:p>
    <w:p>
      <w:pPr>
        <w:pStyle w:val="ListParagraph"/>
        <w:numPr>
          <w:ilvl w:val="0"/>
          <w:numId w:val="2"/>
        </w:numPr>
        <w:spacing w:after="80"/>
      </w:pPr>
      <w:r>
        <w:t xml:space="preserve">Weekly working session with Deepak, Kris, and RapidData lead; written status follows.</w:t>
      </w:r>
    </w:p>
    <w:p>
      <w:pPr>
        <w:pStyle w:val="ListParagraph"/>
        <w:numPr>
          <w:ilvl w:val="0"/>
          <w:numId w:val="2"/>
        </w:numPr>
        <w:spacing w:after="80"/>
      </w:pPr>
      <w:r>
        <w:t xml:space="preserve">Scope changes captured as a written Change Request with impact on timeline/cost; effective once countersigned.</w:t>
      </w:r>
    </w:p>
    <w:p>
      <w:pPr>
        <w:pStyle w:val="ListParagraph"/>
        <w:numPr>
          <w:ilvl w:val="0"/>
          <w:numId w:val="2"/>
        </w:numPr>
        <w:spacing w:after="80"/>
      </w:pPr>
      <w:r>
        <w:t xml:space="preserve">Escalation path: RapidData lead → Biren Saini; PruTech lead → Deepak.</w:t>
      </w:r>
    </w:p>
    <w:p>
      <w:pPr>
        <w:pStyle w:val="Heading1"/>
        <w:spacing w:after="180" w:before="360"/>
      </w:pPr>
      <w:r>
        <w:rPr>
          <w:b/>
          <w:bCs/>
          <w:color w:val="0E7C86"/>
          <w:sz w:val="32"/>
          <w:szCs w:val="32"/>
        </w:rPr>
        <w:t xml:space="preserve">10.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4"/>
              <w:left w:val="single" w:color="CCCCCC" w:sz="4"/>
              <w:bottom w:val="single" w:color="CCCCCC" w:sz="4"/>
              <w:right w:val="single" w:color="CCCCCC" w:sz="4"/>
            </w:tcBorders>
            <w:tcMar>
              <w:top w:type="dxa" w:w="160"/>
              <w:left w:type="dxa" w:w="180"/>
              <w:bottom w:type="dxa" w:w="160"/>
              <w:right w:type="dxa" w:w="180"/>
            </w:tcMar>
          </w:tcPr>
          <w:p>
            <w:r>
              <w:rPr>
                <w:b/>
                <w:bCs/>
                <w:color w:val="0E7C86"/>
                <w:sz w:val="16"/>
                <w:szCs w:val="16"/>
              </w:rPr>
              <w:t xml:space="preserve">FOR RAPIDDATA</w:t>
            </w:r>
          </w:p>
          <w:p>
            <w:pPr>
              <w:spacing w:before="160"/>
            </w:pPr>
            <w:r>
              <w:rPr>
                <w:color w:val="6B7280"/>
                <w:sz w:val="18"/>
                <w:szCs w:val="18"/>
              </w:rPr>
              <w:t xml:space="preserve">Name</w:t>
            </w:r>
          </w:p>
          <w:p>
            <w:r>
              <w:rPr>
                <w:b/>
                <w:bCs/>
                <w:sz w:val="24"/>
                <w:szCs w:val="24"/>
              </w:rPr>
              <w:t xml:space="preserve">Biren Saini</w:t>
            </w:r>
          </w:p>
          <w:p>
            <w:pPr>
              <w:spacing w:before="200"/>
            </w:pPr>
            <w:r>
              <w:rPr>
                <w:color w:val="6B7280"/>
                <w:sz w:val="18"/>
                <w:szCs w:val="18"/>
              </w:rPr>
              <w:t xml:space="preserve">Signature</w:t>
            </w:r>
          </w:p>
          <w:p>
            <w:pPr>
              <w:spacing w:before="320"/>
            </w:pPr>
            <w:r>
              <w:t xml:space="preserve">_______________________________</w:t>
            </w:r>
          </w:p>
          <w:p>
            <w:pPr>
              <w:spacing w:before="200"/>
            </w:pPr>
            <w:r>
              <w:rPr>
                <w:color w:val="6B7280"/>
                <w:sz w:val="18"/>
                <w:szCs w:val="18"/>
              </w:rPr>
              <w:t xml:space="preserve">Date</w:t>
            </w:r>
          </w:p>
          <w:p>
            <w:pPr>
              <w:spacing w:before="200"/>
            </w:pPr>
            <w:r>
              <w:t xml:space="preserve">_______________________________</w:t>
            </w:r>
          </w:p>
        </w:tc>
        <w:tc>
          <w:tcPr>
            <w:tcW w:type="dxa" w:w="4680"/>
            <w:tcBorders>
              <w:top w:val="single" w:color="CCCCCC" w:sz="4"/>
              <w:left w:val="single" w:color="CCCCCC" w:sz="4"/>
              <w:bottom w:val="single" w:color="CCCCCC" w:sz="4"/>
              <w:right w:val="single" w:color="CCCCCC" w:sz="4"/>
            </w:tcBorders>
            <w:tcMar>
              <w:top w:type="dxa" w:w="160"/>
              <w:left w:type="dxa" w:w="180"/>
              <w:bottom w:type="dxa" w:w="160"/>
              <w:right w:type="dxa" w:w="180"/>
            </w:tcMar>
          </w:tcPr>
          <w:p>
            <w:r>
              <w:rPr>
                <w:b/>
                <w:bCs/>
                <w:color w:val="0E7C86"/>
                <w:sz w:val="16"/>
                <w:szCs w:val="16"/>
              </w:rPr>
              <w:t xml:space="preserve">FOR PRUTECH</w:t>
            </w:r>
          </w:p>
          <w:p>
            <w:pPr>
              <w:spacing w:before="160"/>
            </w:pPr>
            <w:r>
              <w:rPr>
                <w:color w:val="6B7280"/>
                <w:sz w:val="18"/>
                <w:szCs w:val="18"/>
              </w:rPr>
              <w:t xml:space="preserve">Name</w:t>
            </w:r>
          </w:p>
          <w:p>
            <w:r>
              <w:rPr>
                <w:b/>
                <w:bCs/>
                <w:sz w:val="24"/>
                <w:szCs w:val="24"/>
              </w:rPr>
              <w:t xml:space="preserve">Deepak</w:t>
            </w:r>
          </w:p>
          <w:p>
            <w:pPr>
              <w:spacing w:before="200"/>
            </w:pPr>
            <w:r>
              <w:rPr>
                <w:color w:val="6B7280"/>
                <w:sz w:val="18"/>
                <w:szCs w:val="18"/>
              </w:rPr>
              <w:t xml:space="preserve">Signature</w:t>
            </w:r>
          </w:p>
          <w:p>
            <w:pPr>
              <w:spacing w:before="320"/>
            </w:pPr>
            <w:r>
              <w:t xml:space="preserve">_______________________________</w:t>
            </w:r>
          </w:p>
          <w:p>
            <w:pPr>
              <w:spacing w:before="200"/>
            </w:pPr>
            <w:r>
              <w:rPr>
                <w:color w:val="6B7280"/>
                <w:sz w:val="18"/>
                <w:szCs w:val="18"/>
              </w:rPr>
              <w:t xml:space="preserve">Date</w:t>
            </w:r>
          </w:p>
          <w:p>
            <w:pPr>
              <w:spacing w:before="200"/>
            </w:pPr>
            <w:r>
              <w:t xml:space="preserve">_______________________________</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B7280"/>
        <w:sz w:val="18"/>
        <w:szCs w:val="18"/>
      </w:rPr>
      <w:t xml:space="preserve">Confidential · Draft v1.0 · Page </w:t>
    </w:r>
    <w:r>
      <w:rPr>
        <w:color w:val="6B728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B7280"/>
        <w:sz w:val="18"/>
        <w:szCs w:val="18"/>
      </w:rPr>
      <w:t xml:space="preserve">RapidData × PruTech — Statement of 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0E7C86"/>
      <w:sz w:val="32"/>
      <w:szCs w:val="32"/>
    </w:rPr>
  </w:style>
  <w:style w:type="paragraph" w:styleId="Heading2">
    <w:name w:val="Heading 2"/>
    <w:basedOn w:val="Normal"/>
    <w:next w:val="Normal"/>
    <w:qFormat/>
    <w:pPr>
      <w:spacing w:after="120" w:before="240"/>
      <w:outlineLvl w:val="1"/>
    </w:pPr>
    <w:rPr>
      <w:rFonts w:ascii="Calibri" w:cs="Calibri" w:eastAsia="Calibri" w:hAnsi="Calibri"/>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 — RapidData × PruTech</dc:title>
  <dc:creator>RapidData</dc:creator>
  <cp:lastModifiedBy>Un-named</cp:lastModifiedBy>
  <cp:revision>1</cp:revision>
  <dcterms:created xsi:type="dcterms:W3CDTF">2026-05-06T17:11:09.020Z</dcterms:created>
  <dcterms:modified xsi:type="dcterms:W3CDTF">2026-05-06T17:11:09.020Z</dcterms:modified>
</cp:coreProperties>
</file>

<file path=docProps/custom.xml><?xml version="1.0" encoding="utf-8"?>
<Properties xmlns="http://schemas.openxmlformats.org/officeDocument/2006/custom-properties" xmlns:vt="http://schemas.openxmlformats.org/officeDocument/2006/docPropsVTypes"/>
</file>